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893B7A" w:rsidRDefault="00893B7A" w:rsidP="00893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A14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3E091E" w:rsidRPr="00477E82" w:rsidRDefault="00606BE8" w:rsidP="00477E8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ГРАЖДАНСКО-ПРАВОВОГО </w:t>
      </w:r>
      <w:r w:rsidR="003E091E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  <w:r w:rsidR="003E091E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 (работ) по  обеспечению единства измерений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Братск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     »                 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E091E" w:rsidRPr="00477E82" w:rsidRDefault="003E091E" w:rsidP="00477E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«Братский государс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венный университет» (ФГБОУ ВО «БрГУ»), именуемый далее Заказчик, в лице ректора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Ситова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 Сергеевича, дейс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вующего на основании Устава, с одной стороны,</w:t>
      </w: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_________________________________________________, именуемый в дальнейшем Поставщик, в лице ___________________________________,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_______________________________________, с др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вместе именуемые Стороны,</w:t>
      </w: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результатов проведения открытого запроса котировок в электронной форме № 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» февраля 202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зафиксированных протоколом подведения итогов № ___ от «___» _______ 202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</w:t>
      </w:r>
    </w:p>
    <w:p w:rsidR="003E091E" w:rsidRPr="00477E82" w:rsidRDefault="00606BE8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Гражданско-правовой договор (далее – Договор) о нижеследующем: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7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1.1 «Заказчик» поручает, а «Исполнитель» принимает на себя обязательства на оказание услуг (выполнение работ) по обеспечению единства измерений: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-проведение поверки  средств измерений (далее СИ);</w:t>
      </w:r>
    </w:p>
    <w:p w:rsidR="00355F14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аттестация испытательного оборудования (далее ИО);</w:t>
      </w:r>
    </w:p>
    <w:p w:rsidR="003E091E" w:rsidRPr="00477E82" w:rsidRDefault="00355F14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метрологического контроля параметров технических изделий с измерительными функциями изд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лий медицинской техники (далее контроль выходных параметров оборудования)</w:t>
      </w:r>
      <w:r w:rsidR="003E091E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Номенклатура и объем,  сроки предоставления СИ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proofErr w:type="gramEnd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(работ) по обеспечению единства измерений регу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лируются согласованным с «Исполнителем» </w:t>
      </w:r>
      <w:r w:rsidR="00893B7A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</w:t>
      </w:r>
      <w:r w:rsidR="00893B7A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чнем</w:t>
      </w:r>
      <w:r w:rsidR="00C16C3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(графиком)</w:t>
      </w:r>
      <w:r w:rsid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1)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Поверка  СИ осуществляется в соответствии с требованиями нормативной документации на методы и средства поверки, результаты поверки оформляются в соответствии Порядком проведения поверки средств измерений, требования к знаку поверки и содержанию свидетельства о поверке, утвержденным Приказом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Минпромторга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2510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утрате свидетельства о поверке и (или) паспорта (формуляра) на СИ выдается дубликат свидетельства о поверке с пометкой «Дубликат» в одном экземпляре.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если техническое изделие с измерительными функциями  не утверждено и не внесено в 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информационный фонд по обеспечению единства измерений «Сведения об утвержденных типах средств измерений»,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на данное  изделие выдается сертификат о калибровке. </w:t>
      </w:r>
    </w:p>
    <w:p w:rsidR="003E091E" w:rsidRPr="00477E82" w:rsidRDefault="00E54DA1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Аттестация осуществляется в соответствии с требованиями ГОСТ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печения единства измерений. Аттестация испытательного оборудования. Основные положения.</w:t>
      </w:r>
    </w:p>
    <w:p w:rsidR="00E54DA1" w:rsidRPr="00477E82" w:rsidRDefault="00E54DA1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Контроль выходных параметров осуществляется в соответствии с требованиями действующих нормативно-технических документов: межгосударственных, национальных стандартов, рекомендаций по метрологии, методик контроля и т.д.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Период оказания услуг: </w:t>
      </w:r>
      <w:proofErr w:type="gramStart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заключения</w:t>
      </w:r>
      <w:proofErr w:type="gramEnd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A144AF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Гарантийный срок на оказанные услуги составляет __________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 w:rsidR="000C2407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C34" w:rsidRPr="00477E82" w:rsidRDefault="00C16C34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Место оказания услуг _____________.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сторон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«Исполнитель» обязуется: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Оказать услуги  по обеспечению единства измерений в согласованные сроки;   в зависимости от объемов и сложности в течение 15-20 рабочих дней, с момента получения «Исполнит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лем» СИ  на поверку.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Срок выполнения выездных работ устанавливается «Исполнителем» по согласованию с «Заказчиком», с учетом возможности предоставления доступа на территорию «Заказчика» и сроков прибытия специалистов к месту оказ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услуг (работ), учитывая технические возможности «Исполнителя».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По заявке «Заказчика» срочно оказать услуги в течение 3-х дней, если это допустимо по технологии оказания услуг.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 Не принимать СИ не соответствующие требованиям нормативной  и технической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документации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по внешнему виду (разбитое стекло, не покрашены, не промыты от масла и т.д.).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При приемке СИ на оказание услуг по обеспечению единства измерений оформить счет, заявление-счет (кв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танцию).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2.1.5.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завершении оказания услуг  по настоящему Договору передать «Заказчику»: повере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СИ, Акты сдачи-приемки услуг, счета-фактуры, оформленные в соответствии с действу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НК РФ.</w:t>
      </w:r>
      <w:proofErr w:type="gramEnd"/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При исполнении обязательств по настоящему Договору привлекать третьих лиц, аккредитованных на необх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димый вид услуг по поверке СИ, при этом ответственность за действия (бездействия) таких лиц  перед «Заказч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ком» несет  «Исполнитель».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2.1.7. Обеспечить сохранность переданных СИ в течение срока оказания услуг и 30 (тридцати) календарных дней после их окончания. «Исполнитель» безвозмездно хранит СИ в течение 30 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(тридцати) календарных дней, по окончании этого срока к отношениям сторон применяются положения ст. ст. 886-906 Гражданского Кодекса Российской Федерации.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«Заказчик» обязуется: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Предоставить «Исполнителю» СИ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оказания услуг по обеспечению единства в количестве и в сроки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согласованные с «Заказчиком»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установленные в графике (перечне) поверки СИ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Предоставить «Исполнителю» СИ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/ИО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расконсервированными, очищенными от грязи, укомплектованными технической документацией, соединительными проводами и кабелями и другими устройствами, необходимыми для оказания услуг по Договору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При  оказании услуг на выезде (на территории «Заказчика») предоставить «Исполнителю» помещение, средства поверки, соответствующие требованиям нормативной документации на СИ, известить пользователей СИ о времени и месте оказания услуг.</w:t>
      </w:r>
    </w:p>
    <w:p w:rsidR="00E56522" w:rsidRPr="00477E82" w:rsidRDefault="00E56522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Самостоятельно знакомиться с учредительными документами Исполнителя, размещенными на официальном сайте Исполнителя: _____________.</w:t>
      </w:r>
    </w:p>
    <w:p w:rsidR="003E091E" w:rsidRPr="00477E82" w:rsidRDefault="003E091E" w:rsidP="00477E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услуг (работ) и порядок оплаты</w:t>
      </w:r>
    </w:p>
    <w:p w:rsidR="003E091E" w:rsidRPr="00477E82" w:rsidRDefault="003E091E" w:rsidP="00477E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Стоимость услуг определяется 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СИ/ИО (графиков)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средств измерений  согласно  Приложения № </w:t>
      </w:r>
      <w:r w:rsid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и составляет 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  (__________ ) в том числе НДС ___%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составляет ___________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 Оплата   услуг по обеспечению единства измерений производится «Заказчиком предварительно в размере 30%  до начала услуг,  путем перечисления денежных сумм на расчетный счет «Исполнителя» на основании счета. Окончател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расчет  производится на основании Акта сдачи-приемки услуг и счета-фактуры, выданными «Исполнителем», не поз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нее 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(пят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надцати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 Услуги по настоящ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му  договору облагаются НДС.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Цена Договора является твердой и определяется на весь срок исполнения Договора, за исключением случаев, предусмотренных Положением о закупке ФГБОУ ВО «БрГУ».</w:t>
      </w:r>
    </w:p>
    <w:p w:rsidR="003E091E" w:rsidRPr="00477E82" w:rsidRDefault="003E091E" w:rsidP="00477E82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сдачи и приёмки работ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4.1. «Заказчик» предоставляет СИ  в поверочные подразделения Центра  с письмом-заявкой.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При приеме СИ «Исполнитель» оформляет счет установленной формы и заявление-счет (квитанция), которые передает «Заказчику». 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15 (пятнадцати) рабочих дней от даты, указанной в заявлении-счете (квитанции) получить СИ, (св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детельства о поверке (извещение о непригодности,  в случае письменного заявления «Заказчика» об этом), Акты  сдачи-приемки услуг,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счет-фактуры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 течение 5 (пяти) рабочих дней с момента получения  подписать и вернуть один экземпляр Акта сд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чи-приемки услуг «Исполнителю», либо представить мотивированный отказ от его подписания.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«Заказчик» не представляет в уст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новленный срок «Исполнителю» подписанный Акт сдачи-приемки услуг, то услуги (работы) считаются принятыми за по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писью «Исполнителя» и претензии к «Исполнителю» отсутствуют.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Мотивированный отказ от подписания Акта сдачи-приемки услуг считается направленным своевременно, если он поступил «Исполнителю» или  направлен почтой не позднее указанного  в настоящем пункте срока.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Для получения поверенных СИ «Заказчик» предъявляет заявление-счет (квитанцию), доверенность и копию платежного документа, подтверждающего полную оплату оказанных услуг.</w:t>
      </w: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Антикоррупционная</w:t>
      </w:r>
      <w:proofErr w:type="spellEnd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оговорка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5.1. </w:t>
      </w:r>
      <w:proofErr w:type="gramStart"/>
      <w:r w:rsidRPr="00477E82">
        <w:rPr>
          <w:kern w:val="0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477E82">
        <w:rPr>
          <w:kern w:val="0"/>
          <w:sz w:val="20"/>
          <w:szCs w:val="20"/>
        </w:rPr>
        <w:t>аффилированные</w:t>
      </w:r>
      <w:proofErr w:type="spellEnd"/>
      <w:r w:rsidRPr="00477E82">
        <w:rPr>
          <w:kern w:val="0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а также не оказывают, не предлагают оказать и не разрешают оказание каких-либо услуг, прямо или косвенно, любым лицам для оказания влияния на действия или решения этих лиц с целью</w:t>
      </w:r>
      <w:proofErr w:type="gramEnd"/>
      <w:r w:rsidRPr="00477E82">
        <w:rPr>
          <w:kern w:val="0"/>
          <w:sz w:val="20"/>
          <w:szCs w:val="20"/>
        </w:rPr>
        <w:t xml:space="preserve"> получения каких-либо неправомерных преимуществ или для достижения иных неправомерных целей.</w:t>
      </w:r>
    </w:p>
    <w:p w:rsidR="00A144AF" w:rsidRPr="00477E82" w:rsidRDefault="00A144AF" w:rsidP="00477E82">
      <w:pPr>
        <w:pStyle w:val="Standard"/>
        <w:tabs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5.2. </w:t>
      </w:r>
      <w:proofErr w:type="gramStart"/>
      <w:r w:rsidRPr="00477E82">
        <w:rPr>
          <w:kern w:val="0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477E82">
        <w:rPr>
          <w:kern w:val="0"/>
          <w:sz w:val="20"/>
          <w:szCs w:val="20"/>
        </w:rPr>
        <w:t>аффилированные</w:t>
      </w:r>
      <w:proofErr w:type="spellEnd"/>
      <w:r w:rsidRPr="00477E82">
        <w:rPr>
          <w:kern w:val="0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 как дача взятки, получение взятки, коммерческий подкуп, а также иные действия, нарушающие </w:t>
      </w:r>
      <w:r w:rsidRPr="00477E82">
        <w:rPr>
          <w:kern w:val="0"/>
          <w:sz w:val="20"/>
          <w:szCs w:val="20"/>
        </w:rPr>
        <w:lastRenderedPageBreak/>
        <w:t>требования применимого законодательства Российской Федерации и международных правовых актов в сфере предупреждения и противодействия коррупции.</w:t>
      </w:r>
      <w:proofErr w:type="gramEnd"/>
    </w:p>
    <w:p w:rsidR="00A144AF" w:rsidRPr="00477E82" w:rsidRDefault="00A144AF" w:rsidP="00477E82">
      <w:pPr>
        <w:pStyle w:val="a5"/>
        <w:spacing w:after="0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В случае возникновения у одной из Сторон подозрений, что произошло или могло произойти нар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шение каких-либо положений пунктов </w:t>
      </w:r>
      <w:bookmarkStart w:id="0" w:name="OLE_LINK3"/>
      <w:bookmarkStart w:id="1" w:name="OLE_LINK4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5.1, 5.2 </w:t>
      </w:r>
      <w:bookmarkEnd w:id="0"/>
      <w:bookmarkEnd w:id="1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Договора, эта Сторона обязуется уведомить о возникновении таких п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дозрений другую Сторону в письменной форме. В тексте уведомления Сторона обязана сослаться на известные ей факты или предо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тавить материалы, достоверно подтверждающие или дающие 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основание предполагать, что произошло или может произойти нарушение каких-либо положений пунктов 5.1, 5.2 настоящего Договора другой Стороной, её </w:t>
      </w:r>
      <w:proofErr w:type="spellStart"/>
      <w:r w:rsidRPr="00477E82">
        <w:rPr>
          <w:kern w:val="0"/>
          <w:sz w:val="20"/>
          <w:szCs w:val="20"/>
        </w:rPr>
        <w:t>аффилированными</w:t>
      </w:r>
      <w:proofErr w:type="spellEnd"/>
      <w:r w:rsidRPr="00477E82">
        <w:rPr>
          <w:kern w:val="0"/>
          <w:sz w:val="20"/>
          <w:szCs w:val="20"/>
        </w:rPr>
        <w:t xml:space="preserve"> лицами, работниками или посредниками.</w:t>
      </w:r>
    </w:p>
    <w:p w:rsidR="00A144AF" w:rsidRPr="00477E82" w:rsidRDefault="00A144AF" w:rsidP="00477E82">
      <w:pPr>
        <w:pStyle w:val="Standard"/>
        <w:tabs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5.3.1.Каналы уведомления «Исполнителя» о нарушениях каких-либо положений пунктов 5.1, 5.2 настоящего Договора: </w:t>
      </w:r>
    </w:p>
    <w:p w:rsidR="00A144AF" w:rsidRPr="00477E82" w:rsidRDefault="00A144AF" w:rsidP="00477E82">
      <w:pPr>
        <w:pStyle w:val="a5"/>
        <w:spacing w:after="0"/>
        <w:ind w:left="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тел. </w:t>
      </w:r>
      <w:r w:rsidR="00477E8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- электронная почта</w:t>
      </w:r>
      <w:proofErr w:type="gramStart"/>
      <w:r w:rsidRPr="00477E82">
        <w:rPr>
          <w:kern w:val="0"/>
          <w:sz w:val="20"/>
          <w:szCs w:val="20"/>
        </w:rPr>
        <w:t xml:space="preserve">: </w:t>
      </w:r>
      <w:r w:rsidR="00477E82" w:rsidRPr="00477E82">
        <w:rPr>
          <w:kern w:val="0"/>
          <w:sz w:val="20"/>
          <w:szCs w:val="20"/>
        </w:rPr>
        <w:t>___________</w:t>
      </w:r>
      <w:r w:rsidRPr="00477E82">
        <w:rPr>
          <w:kern w:val="0"/>
          <w:sz w:val="20"/>
          <w:szCs w:val="20"/>
        </w:rPr>
        <w:t xml:space="preserve">; </w:t>
      </w:r>
      <w:proofErr w:type="gramEnd"/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5.3.2. Каналы уведомления «Заказчика» о нарушениях каких-либо положений пунктов 5.1, 5.2 настоящего Договора:  </w:t>
      </w:r>
      <w:r w:rsidR="00477E82" w:rsidRPr="00477E82">
        <w:rPr>
          <w:kern w:val="0"/>
          <w:sz w:val="20"/>
          <w:szCs w:val="20"/>
        </w:rPr>
        <w:t>_________</w:t>
      </w:r>
      <w:r w:rsidRPr="00477E82">
        <w:rPr>
          <w:kern w:val="0"/>
          <w:sz w:val="20"/>
          <w:szCs w:val="20"/>
        </w:rPr>
        <w:t xml:space="preserve">  электронная почта:</w:t>
      </w:r>
      <w:r w:rsidR="00477E82" w:rsidRPr="00477E82">
        <w:rPr>
          <w:kern w:val="0"/>
          <w:sz w:val="20"/>
          <w:szCs w:val="20"/>
        </w:rPr>
        <w:t xml:space="preserve"> _____________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5.4. Сторона, получившая уведомление о нарушении каких-либо пунктов 5.1, 5.2 настоящего Договора, обязана рассмотреть такое уведомление и сообщить другой Стороне о результатах его рассмотрения в течение 10 (десяти) рабочих дней </w:t>
      </w:r>
      <w:proofErr w:type="gramStart"/>
      <w:r w:rsidRPr="00477E82">
        <w:rPr>
          <w:kern w:val="0"/>
          <w:sz w:val="20"/>
          <w:szCs w:val="20"/>
        </w:rPr>
        <w:t>с даты получения</w:t>
      </w:r>
      <w:proofErr w:type="gramEnd"/>
      <w:r w:rsidRPr="00477E82">
        <w:rPr>
          <w:kern w:val="0"/>
          <w:sz w:val="20"/>
          <w:szCs w:val="20"/>
        </w:rPr>
        <w:t xml:space="preserve"> письменного уведомления.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5.5. Стороны гарантируют осуществление надлежащего разбирательства по фактам нарушения положений пунктов 5.1, 5.2 настоящего Договора с соблюдением принципов конфиденциальности, а также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выявленных фактах нарушения положений пунктов 5.1, 5.2 настоящего Договора.</w:t>
      </w:r>
    </w:p>
    <w:p w:rsidR="00A144AF" w:rsidRPr="00477E82" w:rsidRDefault="00A144AF" w:rsidP="00477E82">
      <w:pPr>
        <w:pStyle w:val="Standard"/>
        <w:tabs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5.6. В случае подтверждения факта нарушения одной из Сторон положений пунктов 5.1, 5.2 настоящего Договора, другая Сторона имеет право расторгнуть настоящий Договор в одностороннем внесудебном порядке путём направления письменного уведомления не позднее, чем за 15 (пятнадцать) календарных дней до предполагаемой даты прекращения действия настоящего Договора.</w:t>
      </w:r>
    </w:p>
    <w:p w:rsidR="00A144AF" w:rsidRPr="00477E82" w:rsidRDefault="00A144AF" w:rsidP="00477E82">
      <w:pPr>
        <w:pStyle w:val="Standard"/>
        <w:tabs>
          <w:tab w:val="left" w:pos="709"/>
        </w:tabs>
        <w:spacing w:line="276" w:lineRule="auto"/>
        <w:ind w:left="720"/>
        <w:jc w:val="both"/>
      </w:pP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сторон, разрешение споров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6.2. «Исполнитель» несет полную ответственность за сохранность принятых СИ и оборудования в соответствии с законодательством Российской Федерации.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6.3. Все претензии по состоянию и комплектности СИ и оборудования принимаются «Исполнителем» при получении СИ и оборудования. После вывоза поверенных СИ и оборудования пр</w:t>
      </w:r>
      <w:r w:rsidRPr="00477E82">
        <w:rPr>
          <w:kern w:val="0"/>
          <w:sz w:val="20"/>
          <w:szCs w:val="20"/>
        </w:rPr>
        <w:t>е</w:t>
      </w:r>
      <w:r w:rsidRPr="00477E82">
        <w:rPr>
          <w:kern w:val="0"/>
          <w:sz w:val="20"/>
          <w:szCs w:val="20"/>
        </w:rPr>
        <w:t>тензии «Исполнителем» не принимаются.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6.4. В случае мотивированного нарушения «Заказчиком» сроков и объемов представления СИ  и оборудования «Исполнителю», «Заказчик» обязан письменно уведомить «Исполнителя» не позднее, чем за 5 дней до установленного срока. В дальнейшем сроки оказания услуг устанавливается  по согласованию с «Исполнителем».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6.5. Все споры, возникающие при исполнении настоящего Договора, решаются Сторонами путем переговоров, которые могут проводиться,  в том числе, путем отправления писем по почте, обмена факсимил</w:t>
      </w:r>
      <w:r w:rsidRPr="00477E82">
        <w:rPr>
          <w:kern w:val="0"/>
          <w:sz w:val="20"/>
          <w:szCs w:val="20"/>
        </w:rPr>
        <w:t>ь</w:t>
      </w:r>
      <w:r w:rsidRPr="00477E82">
        <w:rPr>
          <w:kern w:val="0"/>
          <w:sz w:val="20"/>
          <w:szCs w:val="20"/>
        </w:rPr>
        <w:t>ными сообщениями.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6.6. Если Стороны не придут к соглашению путем переговоров, все споры рассматриваются в претензионном порядке. Срок рассмотрения претензии – три недели с момента получения  пр</w:t>
      </w:r>
      <w:r w:rsidRPr="00477E82">
        <w:rPr>
          <w:kern w:val="0"/>
          <w:sz w:val="20"/>
          <w:szCs w:val="20"/>
        </w:rPr>
        <w:t>е</w:t>
      </w:r>
      <w:r w:rsidRPr="00477E82">
        <w:rPr>
          <w:kern w:val="0"/>
          <w:sz w:val="20"/>
          <w:szCs w:val="20"/>
        </w:rPr>
        <w:t>тензии.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6.7. В случае если споры не урегулированы Сторонами с помощью переговоров и в претензионном порядке, то они подлежат рассмотрению в Арбитражном суде Иркутской области.</w:t>
      </w:r>
    </w:p>
    <w:p w:rsidR="00A144AF" w:rsidRPr="00477E82" w:rsidRDefault="00A144AF" w:rsidP="00477E82">
      <w:pPr>
        <w:pStyle w:val="a5"/>
        <w:jc w:val="both"/>
        <w:rPr>
          <w:rFonts w:ascii="Times New Roman" w:hAnsi="Times New Roman" w:cs="Times New Roman"/>
        </w:rPr>
      </w:pPr>
    </w:p>
    <w:p w:rsidR="003E091E" w:rsidRPr="00477E82" w:rsidRDefault="003E091E" w:rsidP="00477E82">
      <w:pPr>
        <w:pStyle w:val="a5"/>
        <w:numPr>
          <w:ilvl w:val="0"/>
          <w:numId w:val="19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вступает в силу с момента  подписания и  действует по 31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="00477E8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части, к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сающихся расчетов, до полного исполнения сторонами обязательств по настоящему Договору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Форс-мажор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ские волнения, эпидемии, блокада, эмбарго, землетрясения, наводнения, пожары или другие стихийные бедствия.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В случае наступления этих обстоятельств, Сторона обязана в течение 5 (пяти) календарных дней уведомить об этом другую Сторону.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8.3. Документ, выданный Торгово-промышленной палатой, уполномоченным государственным органом и т.д., явл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достаточным подтверждением наличия и продолжительности действия непреодолимой силы.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Если обстоятельства непреодолимой силы продолжают действовать более 10 календарных дней, то каждая 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 вправе расторгнуть Договор в одностороннем порядке.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9.Прочие условия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Все исправления по тексту настоящего Договора имеют юридическую силу только в том случае, если они уд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стоверены подписями сторон в каждом отдельном случае.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Все приложения к настоящему Договору являются его неотъемлемыми частями.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двух экземплярах, имеющих одинаковую силу, по одному для каждой из 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9.4. Стороны признают правомочность документов, переданных по электронной и факсимильной связи, с дальне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шей заменой их оригиналами в течение одного месяца.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При изменении  адресов и реквизитов Стороны уведомляют друг друга в письменном виде с оформлением 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полнительного соглашения. </w:t>
      </w:r>
    </w:p>
    <w:p w:rsidR="003E091E" w:rsidRPr="00477E82" w:rsidRDefault="003E091E" w:rsidP="00477E8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10.Юридические адреса и платежные реквизиты Сторон</w:t>
      </w:r>
    </w:p>
    <w:tbl>
      <w:tblPr>
        <w:tblW w:w="12180" w:type="dxa"/>
        <w:tblInd w:w="817" w:type="dxa"/>
        <w:tblLook w:val="04A0"/>
      </w:tblPr>
      <w:tblGrid>
        <w:gridCol w:w="5245"/>
        <w:gridCol w:w="6935"/>
      </w:tblGrid>
      <w:tr w:rsidR="00606BE8" w:rsidRPr="00893B7A" w:rsidTr="00477E82">
        <w:trPr>
          <w:trHeight w:val="1979"/>
        </w:trPr>
        <w:tc>
          <w:tcPr>
            <w:tcW w:w="5245" w:type="dxa"/>
            <w:shd w:val="clear" w:color="auto" w:fill="auto"/>
          </w:tcPr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«Заказчик»: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665709, </w:t>
            </w:r>
            <w:proofErr w:type="gram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Братск, 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40.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  <w:proofErr w:type="spell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Мазаник</w:t>
            </w:r>
            <w:proofErr w:type="spell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Константиновна</w:t>
            </w:r>
          </w:p>
          <w:p w:rsidR="00606BE8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+7 (3953) 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344000 </w:t>
            </w:r>
            <w:proofErr w:type="spellStart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343, 741</w:t>
            </w:r>
          </w:p>
          <w:p w:rsid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+7 (3953) 344-011</w:t>
            </w:r>
          </w:p>
          <w:p w:rsidR="0074068B" w:rsidRPr="00A144AF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axp</w:t>
            </w:r>
            <w:proofErr w:type="spellEnd"/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brstu</w:t>
            </w:r>
            <w:proofErr w:type="spellEnd"/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606BE8" w:rsidRPr="00A144AF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3805100148 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380501001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1023800919834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Банковские реквизиты: 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606BE8" w:rsidRPr="00893B7A" w:rsidRDefault="0074068B" w:rsidP="0074068B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</w:tc>
        <w:tc>
          <w:tcPr>
            <w:tcW w:w="6935" w:type="dxa"/>
          </w:tcPr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«Исполнитель»:</w:t>
            </w:r>
            <w:r w:rsidRPr="00893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BE8" w:rsidRPr="00893B7A" w:rsidTr="00477E82">
        <w:trPr>
          <w:trHeight w:val="1266"/>
        </w:trPr>
        <w:tc>
          <w:tcPr>
            <w:tcW w:w="5245" w:type="dxa"/>
            <w:shd w:val="clear" w:color="auto" w:fill="auto"/>
          </w:tcPr>
          <w:p w:rsidR="0074068B" w:rsidRPr="00A144AF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893B7A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Ситов</w:t>
            </w:r>
            <w:proofErr w:type="spellEnd"/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</w:t>
            </w:r>
            <w:r w:rsidR="0047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935" w:type="dxa"/>
          </w:tcPr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  <w:sectPr w:rsidR="003E091E" w:rsidRPr="00893B7A" w:rsidSect="00A75881">
          <w:footerReference w:type="default" r:id="rId7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3E091E" w:rsidRPr="00893B7A" w:rsidRDefault="003E091E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договору № ______ от _________ </w:t>
      </w:r>
      <w:r w:rsidR="00477E82">
        <w:rPr>
          <w:rFonts w:ascii="Times New Roman" w:hAnsi="Times New Roman" w:cs="Times New Roman"/>
          <w:sz w:val="20"/>
          <w:szCs w:val="20"/>
        </w:rPr>
        <w:t>2022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93B7A" w:rsidRDefault="00893B7A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B7A" w:rsidRDefault="00893B7A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поверки (калибровки) средств измерений на </w:t>
      </w:r>
      <w:r w:rsid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477E82" w:rsidRDefault="00477E82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427" w:type="dxa"/>
        <w:tblInd w:w="95" w:type="dxa"/>
        <w:tblLayout w:type="fixed"/>
        <w:tblLook w:val="04A0"/>
      </w:tblPr>
      <w:tblGrid>
        <w:gridCol w:w="3321"/>
        <w:gridCol w:w="2404"/>
        <w:gridCol w:w="2510"/>
        <w:gridCol w:w="856"/>
        <w:gridCol w:w="1370"/>
        <w:gridCol w:w="2997"/>
        <w:gridCol w:w="1969"/>
      </w:tblGrid>
      <w:tr w:rsidR="00477E82" w:rsidRPr="00C875FB" w:rsidTr="00401969">
        <w:trPr>
          <w:trHeight w:val="163"/>
          <w:tblHeader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СИ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СИ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(шт.)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Метрологические характеристики</w:t>
            </w:r>
          </w:p>
        </w:tc>
      </w:tr>
      <w:tr w:rsidR="00477E82" w:rsidRPr="00C875FB" w:rsidTr="00401969">
        <w:trPr>
          <w:trHeight w:val="322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т.ч. по п</w:t>
            </w: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речню*</w:t>
            </w:r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 (диапазон измерений)</w:t>
            </w:r>
          </w:p>
        </w:tc>
      </w:tr>
      <w:tr w:rsidR="00477E82" w:rsidRPr="00C875FB" w:rsidTr="00401969">
        <w:trPr>
          <w:trHeight w:val="574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194"/>
          <w:tblHeader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77E82" w:rsidRPr="00C875FB" w:rsidTr="00401969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+- 1,5%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250 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10 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50…250кН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индикатором №148964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50...500кН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075123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0,1...5000кН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+- 0,012%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 мм                       ЦД 0,01 мм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49807,41969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0,04…15  кг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0,4…200  кг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 2202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813606630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 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2…4000 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 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  +- 0,02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0,1…3000 г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механический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ПГ +- 4,8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0,2…180 с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 для измерения и анализа вибрации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стандартный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58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определения темпер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(скол ребра)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5…30 МПа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5…100 МПа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распростран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10…999,9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освещенности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83130817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4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 мм</w:t>
            </w:r>
          </w:p>
        </w:tc>
      </w:tr>
      <w:tr w:rsidR="00477E82" w:rsidRPr="00C875FB" w:rsidTr="00401969">
        <w:trPr>
          <w:trHeight w:val="35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1…500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YC50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1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тахеометр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2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 К291144550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0,1…120 мм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0,02…0,5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 РЗУ2П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1…3000 мм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+-1,0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0,2…200 м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Шаблон для определения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+- 3%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0…1000 мкм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+-0,3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оптический с компенсат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+-1,5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теодолит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0,25; 0,5; 1,0; 2,0; 5,0 10,0 мм</w:t>
            </w: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0,16; 0,315; 0,63; 1,25; 2,5; 5,0; 7,5; 10,0; 12,5; 15; 17,5; 20,0; 2; 2,5; 30; 40; 50; 60; 70 мм</w:t>
            </w:r>
          </w:p>
        </w:tc>
      </w:tr>
      <w:tr w:rsidR="00477E82" w:rsidRPr="00C875FB" w:rsidTr="00401969">
        <w:trPr>
          <w:trHeight w:val="90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0,1; 0,25; 0,5; 1,0; 2,0; 5,0; 10,0 мм</w:t>
            </w:r>
          </w:p>
        </w:tc>
      </w:tr>
      <w:tr w:rsidR="00477E82" w:rsidRPr="00C875FB" w:rsidTr="00401969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калибров 90; 100; 110; 120; 150; 200; 300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до 500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0,9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0,05; 0,08; 0,125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ячейками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0,14; 0,315; 0,63; 1,25; 2,5; 5,0; 10,0; 20,0; 40,0 мм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избыточного давления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0…25 кгс/см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Вакуумметр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-1 - 0 кгс/см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контактный цифровой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-40…+100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электронный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-60…+200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-18…+1500</w:t>
            </w:r>
          </w:p>
        </w:tc>
      </w:tr>
      <w:tr w:rsidR="00477E82" w:rsidRPr="00C875FB" w:rsidTr="00401969">
        <w:trPr>
          <w:trHeight w:val="6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+-0,3 кПа       0…98%                   -40…85 град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нормируется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-20…+120 град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</w:p>
        </w:tc>
      </w:tr>
      <w:tr w:rsidR="00477E82" w:rsidRPr="00C875FB" w:rsidTr="00401969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477E82" w:rsidRPr="00C875FB" w:rsidTr="00401969">
        <w:trPr>
          <w:trHeight w:val="571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гальванизации и эле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0,50%</w:t>
            </w:r>
          </w:p>
        </w:tc>
      </w:tr>
      <w:tr w:rsidR="00477E82" w:rsidRPr="00C875FB" w:rsidTr="00401969">
        <w:trPr>
          <w:trHeight w:val="5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32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Стерилизатор паровой 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ВК-30-01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Н</w:t>
            </w:r>
          </w:p>
        </w:tc>
        <w:tc>
          <w:tcPr>
            <w:tcW w:w="1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77E82" w:rsidRPr="00C875FB" w:rsidTr="00401969">
        <w:trPr>
          <w:trHeight w:val="37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1.Манометр показывающий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новенное</w:t>
            </w:r>
            <w:proofErr w:type="gramEnd"/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Маномвакуумметрэлектроко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сигнализирующий</w:t>
            </w: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42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26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77E82" w:rsidRPr="00C875FB" w:rsidTr="00401969">
        <w:trPr>
          <w:trHeight w:val="2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10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13c10715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77E82" w:rsidRPr="00C875FB" w:rsidTr="00401969">
        <w:trPr>
          <w:trHeight w:val="27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6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РН-6Ц13УМ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77E82" w:rsidRPr="00C875FB" w:rsidTr="00401969">
        <w:trPr>
          <w:trHeight w:val="41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РП-150 МГ по ТУ 9441-004-00226425-2005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77E82" w:rsidRPr="00C875FB" w:rsidTr="00401969">
        <w:trPr>
          <w:trHeight w:val="3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77E82" w:rsidRPr="00C875FB" w:rsidTr="00401969">
        <w:trPr>
          <w:trHeight w:val="3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32.2 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30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3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27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40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лечения ДДТ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28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артериал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МТ-20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LD-70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LD-71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±3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477E82" w:rsidRPr="00C875FB" w:rsidTr="00401969">
        <w:trPr>
          <w:trHeight w:val="41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51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40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транскраниального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четырехканальный «МДМ-101-1»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МДМ-101-1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II</w:t>
            </w:r>
          </w:p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Ультрозвуковая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Mindray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DC-7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MX-57007076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Видеокольпоскоп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оптический ци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Kermel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KN-2200F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14042942P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0-250 г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0-60 сек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Ттитратор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0-100%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0-5%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комбинированный TESTO-622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 нефтепродуктов ТИН4-1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 нефтепродуктов ТИН4-2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Термометр ТИН4-2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Эксплуатационный отдел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0-1,6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Мпа</w:t>
            </w:r>
            <w:proofErr w:type="spellEnd"/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холодной воды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10,504577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0,03-5,0 м3/час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холодной воды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10,504613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0,03-5,0 м3/час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 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ВСГ-20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0,24-6,0м3/час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 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ВСГ-32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04413269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0,24-6,0м3/час</w:t>
            </w:r>
          </w:p>
        </w:tc>
      </w:tr>
      <w:tr w:rsidR="00477E82" w:rsidRPr="00C875FB" w:rsidTr="00401969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Кафедра строительных конструкций и технологий строительства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+-2%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тс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656707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0-10мм. максимал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Весы лабораторные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DL-1200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15604802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ПГ +-0,2 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0,5…1200г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и скорости распространения ультразвука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1.0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импульси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30252-10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7E82" w:rsidRDefault="00477E82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E82" w:rsidRDefault="00477E82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E82" w:rsidRPr="00A144AF" w:rsidRDefault="00477E82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P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«Заказчик»: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«Исполнитель»: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 ФГБОУ ВО «БрГУ»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Ситов</w:t>
      </w:r>
      <w:proofErr w:type="spellEnd"/>
    </w:p>
    <w:p w:rsidR="003E091E" w:rsidRDefault="00893B7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2" w:name="_GoBack"/>
      <w:bookmarkEnd w:id="2"/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477E8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к договору № ______ от _________ </w:t>
      </w:r>
      <w:r>
        <w:rPr>
          <w:rFonts w:ascii="Times New Roman" w:hAnsi="Times New Roman" w:cs="Times New Roman"/>
          <w:sz w:val="20"/>
          <w:szCs w:val="20"/>
        </w:rPr>
        <w:t>2022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477E82" w:rsidRDefault="00477E82" w:rsidP="0047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477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477E82" w:rsidRDefault="00477E82" w:rsidP="00477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p w:rsidR="00477E82" w:rsidRDefault="00477E82" w:rsidP="00477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0"/>
        <w:gridCol w:w="2326"/>
        <w:gridCol w:w="928"/>
        <w:gridCol w:w="1404"/>
        <w:gridCol w:w="1006"/>
        <w:gridCol w:w="992"/>
        <w:gridCol w:w="1184"/>
        <w:gridCol w:w="1793"/>
        <w:gridCol w:w="1275"/>
        <w:gridCol w:w="1560"/>
        <w:gridCol w:w="2152"/>
      </w:tblGrid>
      <w:tr w:rsidR="00477E82" w:rsidRPr="0060562F" w:rsidTr="00401969">
        <w:trPr>
          <w:trHeight w:val="426"/>
          <w:tblHeader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Надбавка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без НДС, руб.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НДС 20%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с НДС, руб.</w:t>
            </w:r>
          </w:p>
        </w:tc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77E82" w:rsidRPr="0060562F" w:rsidTr="00401969">
        <w:trPr>
          <w:tblHeader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77E82" w:rsidRDefault="00477E82" w:rsidP="00477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477E82" w:rsidRPr="00893B7A" w:rsidRDefault="00477E82" w:rsidP="0047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7E82" w:rsidRPr="00893B7A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A5" w:rsidRDefault="00DA2EA5" w:rsidP="003D59F3">
      <w:pPr>
        <w:spacing w:after="0" w:line="240" w:lineRule="auto"/>
      </w:pPr>
      <w:r>
        <w:separator/>
      </w:r>
    </w:p>
  </w:endnote>
  <w:endnote w:type="continuationSeparator" w:id="0">
    <w:p w:rsidR="00DA2EA5" w:rsidRDefault="00DA2EA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144AF" w:rsidRDefault="00A144AF">
        <w:pPr>
          <w:pStyle w:val="a3"/>
          <w:jc w:val="right"/>
        </w:pPr>
        <w:fldSimple w:instr=" PAGE   \* MERGEFORMAT ">
          <w:r w:rsidR="00477E82">
            <w:rPr>
              <w:noProof/>
            </w:rPr>
            <w:t>12</w:t>
          </w:r>
        </w:fldSimple>
      </w:p>
    </w:sdtContent>
  </w:sdt>
  <w:p w:rsidR="00A144AF" w:rsidRDefault="00A144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A5" w:rsidRDefault="00DA2EA5" w:rsidP="003D59F3">
      <w:pPr>
        <w:spacing w:after="0" w:line="240" w:lineRule="auto"/>
      </w:pPr>
      <w:r>
        <w:separator/>
      </w:r>
    </w:p>
  </w:footnote>
  <w:footnote w:type="continuationSeparator" w:id="0">
    <w:p w:rsidR="00DA2EA5" w:rsidRDefault="00DA2EA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654544D"/>
    <w:multiLevelType w:val="hybridMultilevel"/>
    <w:tmpl w:val="1AA0D40C"/>
    <w:lvl w:ilvl="0" w:tplc="AF109D74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8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16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14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2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AC8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8B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CA2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43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2BA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4AF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69D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5D4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CF5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2EA5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DA1"/>
    <w:rsid w:val="00E54EB2"/>
    <w:rsid w:val="00E54FBB"/>
    <w:rsid w:val="00E55824"/>
    <w:rsid w:val="00E56522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788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93B7A"/>
  </w:style>
  <w:style w:type="table" w:customStyle="1" w:styleId="10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74068B"/>
  </w:style>
  <w:style w:type="paragraph" w:customStyle="1" w:styleId="ListParagraph">
    <w:name w:val="List Paragraph"/>
    <w:basedOn w:val="a"/>
    <w:rsid w:val="00A14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44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3</cp:revision>
  <cp:lastPrinted>2019-04-03T03:40:00Z</cp:lastPrinted>
  <dcterms:created xsi:type="dcterms:W3CDTF">2021-02-16T03:29:00Z</dcterms:created>
  <dcterms:modified xsi:type="dcterms:W3CDTF">2022-02-10T07:47:00Z</dcterms:modified>
</cp:coreProperties>
</file>